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w:drawing>
          <wp:anchor distT="36576" distB="36576" distL="36576" distR="36576" simplePos="0" relativeHeight="251658240" behindDoc="0" locked="0" layoutInCell="1" allowOverlap="1">
            <wp:simplePos x="0" y="0"/>
            <wp:positionH relativeFrom="column">
              <wp:posOffset>5278755</wp:posOffset>
            </wp:positionH>
            <wp:positionV relativeFrom="paragraph">
              <wp:posOffset>-703580</wp:posOffset>
            </wp:positionV>
            <wp:extent cx="1114425" cy="14859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tbl>
      <w:tblPr>
        <w:tblW w:w="5000" w:type="pct"/>
        <w:tblCellSpacing w:w="0" w:type="dxa"/>
        <w:tblCellMar>
          <w:left w:w="0" w:type="dxa"/>
          <w:right w:w="0" w:type="dxa"/>
        </w:tblCellMar>
        <w:tblLook w:val="04A0" w:firstRow="1" w:lastRow="0" w:firstColumn="1" w:lastColumn="0" w:noHBand="0" w:noVBand="1"/>
      </w:tblPr>
      <w:tblGrid>
        <w:gridCol w:w="9026"/>
      </w:tblGrid>
      <w:tr>
        <w:trPr>
          <w:trHeight w:val="1500"/>
          <w:tblCellSpacing w:w="0" w:type="dxa"/>
        </w:trPr>
        <w:tc>
          <w:tcPr>
            <w:tcW w:w="0" w:type="auto"/>
            <w:vAlign w:val="center"/>
            <w:hideMark/>
          </w:tcPr>
          <w:p>
            <w:pPr>
              <w:spacing w:before="100" w:beforeAutospacing="1" w:after="100" w:afterAutospacing="1" w:line="240" w:lineRule="auto"/>
              <w:jc w:val="center"/>
              <w:outlineLvl w:val="4"/>
              <w:rPr>
                <w:rFonts w:ascii="Times New Roman" w:eastAsia="Times New Roman" w:hAnsi="Times New Roman" w:cs="Times New Roman"/>
                <w:b/>
                <w:bCs/>
                <w:color w:val="7A012E"/>
                <w:sz w:val="36"/>
                <w:szCs w:val="36"/>
                <w:lang w:eastAsia="en-GB"/>
              </w:rPr>
            </w:pPr>
            <w:r>
              <w:rPr>
                <w:rFonts w:ascii="Times New Roman" w:eastAsia="Times New Roman" w:hAnsi="Times New Roman" w:cs="Times New Roman"/>
                <w:b/>
                <w:bCs/>
                <w:sz w:val="36"/>
                <w:szCs w:val="36"/>
                <w:lang w:eastAsia="en-GB"/>
              </w:rPr>
              <w:t>St. Colm’s High School Exam Policy</w:t>
            </w:r>
          </w:p>
        </w:tc>
      </w:tr>
    </w:tbl>
    <w:p>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tbl>
      <w:tblPr>
        <w:tblStyle w:val="TableGrid"/>
        <w:tblW w:w="5000" w:type="pct"/>
        <w:tblLook w:val="04A0" w:firstRow="1" w:lastRow="0" w:firstColumn="1" w:lastColumn="0" w:noHBand="0" w:noVBand="1"/>
      </w:tblPr>
      <w:tblGrid>
        <w:gridCol w:w="600"/>
        <w:gridCol w:w="8642"/>
      </w:tblGrid>
      <w:tr>
        <w:tc>
          <w:tcPr>
            <w:tcW w:w="0" w:type="auto"/>
            <w:gridSpan w:val="2"/>
            <w:shd w:val="clear" w:color="auto" w:fill="8DB3E2" w:themeFill="text2" w:themeFillTint="66"/>
            <w:hideMark/>
          </w:tcPr>
          <w:p>
            <w:pPr>
              <w:spacing w:before="100" w:beforeAutospacing="1" w:after="100" w:afterAutospacing="1"/>
              <w:jc w:val="center"/>
              <w:outlineLvl w:val="4"/>
              <w:rPr>
                <w:rFonts w:ascii="Times New Roman" w:eastAsia="Times New Roman" w:hAnsi="Times New Roman" w:cs="Times New Roman"/>
                <w:b/>
                <w:bCs/>
                <w:color w:val="7A012E"/>
                <w:sz w:val="36"/>
                <w:szCs w:val="36"/>
                <w:lang w:eastAsia="en-GB"/>
              </w:rPr>
            </w:pPr>
            <w:r>
              <w:rPr>
                <w:rFonts w:ascii="Times New Roman" w:eastAsia="Times New Roman" w:hAnsi="Times New Roman" w:cs="Times New Roman"/>
                <w:b/>
                <w:bCs/>
                <w:color w:val="000000"/>
                <w:sz w:val="36"/>
                <w:szCs w:val="36"/>
                <w:lang w:eastAsia="en-GB"/>
              </w:rPr>
              <w:t>Contents</w:t>
            </w:r>
          </w:p>
        </w:tc>
      </w:tr>
      <w:tr>
        <w:tc>
          <w:tcPr>
            <w:tcW w:w="0" w:type="auto"/>
            <w:hideMark/>
          </w:tcPr>
          <w:p>
            <w:pPr>
              <w:rPr>
                <w:rFonts w:ascii="Times New Roman" w:eastAsia="Times New Roman" w:hAnsi="Times New Roman" w:cs="Times New Roman"/>
                <w:sz w:val="24"/>
                <w:szCs w:val="24"/>
                <w:lang w:eastAsia="en-GB"/>
              </w:rPr>
            </w:pPr>
          </w:p>
        </w:tc>
        <w:tc>
          <w:tcPr>
            <w:tcW w:w="0" w:type="auto"/>
            <w:hideMark/>
          </w:tcPr>
          <w:p>
            <w:pPr>
              <w:rPr>
                <w:rFonts w:ascii="Times New Roman" w:eastAsia="Times New Roman" w:hAnsi="Times New Roman" w:cs="Times New Roman"/>
                <w:sz w:val="20"/>
                <w:szCs w:val="20"/>
                <w:lang w:eastAsia="en-GB"/>
              </w:rPr>
            </w:pPr>
          </w:p>
        </w:tc>
      </w:tr>
      <w:tr>
        <w:tc>
          <w:tcPr>
            <w:tcW w:w="0" w:type="auto"/>
            <w:hideMark/>
          </w:tcPr>
          <w:p>
            <w:pPr>
              <w:rPr>
                <w:rFonts w:ascii="Times New Roman" w:eastAsia="Times New Roman" w:hAnsi="Times New Roman" w:cs="Times New Roman"/>
                <w:sz w:val="24"/>
                <w:szCs w:val="24"/>
                <w:lang w:eastAsia="en-GB"/>
              </w:rPr>
            </w:pPr>
          </w:p>
        </w:tc>
        <w:tc>
          <w:tcPr>
            <w:tcW w:w="0" w:type="auto"/>
            <w:hideMark/>
          </w:tcPr>
          <w:p>
            <w:pPr>
              <w:rPr>
                <w:rFonts w:ascii="Times New Roman" w:eastAsia="Times New Roman" w:hAnsi="Times New Roman" w:cs="Times New Roman"/>
                <w:sz w:val="20"/>
                <w:szCs w:val="20"/>
                <w:lang w:eastAsia="en-GB"/>
              </w:rPr>
            </w:pPr>
          </w:p>
        </w:tc>
      </w:tr>
      <w:tr>
        <w:tc>
          <w:tcPr>
            <w:tcW w:w="600" w:type="dxa"/>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Exam responsibilities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2.</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The statutory tests and qualifications offered</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3.</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Exam seasons and timetables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4.</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Learner Entries, Registration, Certification, entry details, late entries and retakes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5.</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Exam fees</w:t>
            </w:r>
          </w:p>
        </w:tc>
      </w:tr>
      <w:tr>
        <w:trPr>
          <w:trHeight w:val="863"/>
        </w:trP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6.</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The Disability Discrimination Act (DDA), special needs and access arrangements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7.</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Estimated grades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8.</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Managing invigilators and exam days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9.</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Candidates, clash candidates and special consideration</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10.</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Coursework and appeals against internal assessments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11.</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Results, enquiries about results (EARs) and access to scripts (ATS)</w:t>
            </w:r>
          </w:p>
        </w:tc>
      </w:tr>
      <w:tr>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12.</w:t>
            </w:r>
          </w:p>
        </w:tc>
        <w:tc>
          <w:tcPr>
            <w:tcW w:w="0" w:type="auto"/>
            <w:hideMark/>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Certificates</w:t>
            </w:r>
          </w:p>
        </w:tc>
      </w:tr>
      <w:tr>
        <w:tc>
          <w:tcPr>
            <w:tcW w:w="0" w:type="auto"/>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13.</w:t>
            </w:r>
          </w:p>
        </w:tc>
        <w:tc>
          <w:tcPr>
            <w:tcW w:w="0" w:type="auto"/>
          </w:tcPr>
          <w:p>
            <w:pPr>
              <w:spacing w:before="100" w:beforeAutospacing="1" w:after="100" w:afterAutospacing="1"/>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Learner withdrawal from Centre and qualifications</w:t>
            </w:r>
          </w:p>
        </w:tc>
      </w:tr>
    </w:tbl>
    <w:p>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lastRenderedPageBreak/>
        <w:t>The purpose of this exam policy is:</w:t>
      </w:r>
    </w:p>
    <w:p>
      <w:pPr>
        <w:numPr>
          <w:ilvl w:val="0"/>
          <w:numId w:val="1"/>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to ensure the planning and management of exams is conducted efficiently and in the best interest of candidates</w:t>
      </w:r>
    </w:p>
    <w:p>
      <w:pPr>
        <w:numPr>
          <w:ilvl w:val="0"/>
          <w:numId w:val="1"/>
        </w:numPr>
        <w:spacing w:before="100" w:beforeAutospacing="1" w:after="100" w:afterAutospacing="1" w:line="240" w:lineRule="auto"/>
        <w:outlineLvl w:val="0"/>
        <w:rPr>
          <w:rFonts w:ascii="Times New Roman" w:eastAsia="Times New Roman" w:hAnsi="Times New Roman" w:cs="Times New Roman"/>
          <w:kern w:val="36"/>
          <w:lang w:eastAsia="en-GB"/>
        </w:rPr>
      </w:pPr>
      <w:proofErr w:type="gramStart"/>
      <w:r>
        <w:rPr>
          <w:rFonts w:ascii="Times New Roman" w:eastAsia="Times New Roman" w:hAnsi="Times New Roman" w:cs="Times New Roman"/>
          <w:kern w:val="36"/>
          <w:lang w:eastAsia="en-GB"/>
        </w:rPr>
        <w:t>to</w:t>
      </w:r>
      <w:proofErr w:type="gramEnd"/>
      <w:r>
        <w:rPr>
          <w:rFonts w:ascii="Times New Roman" w:eastAsia="Times New Roman" w:hAnsi="Times New Roman" w:cs="Times New Roman"/>
          <w:kern w:val="36"/>
          <w:lang w:eastAsia="en-GB"/>
        </w:rPr>
        <w:t xml:space="preserve"> ensure the operation of an efficient exam system with clear guidelines for all relevant staff.</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It is the responsibility of everyone involved in the centre’s exam processes to read, understand and implement this policy.</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This exam policy will be reviewed every two years.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This exam policy will be reviewed by the head of centre, senior leadership team, exams officer and the governors.</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1. Exam responsibilities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Head of centre/principal</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Overall responsibility for the school/college as an exam centre:</w:t>
      </w:r>
    </w:p>
    <w:p>
      <w:pPr>
        <w:numPr>
          <w:ilvl w:val="0"/>
          <w:numId w:val="2"/>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advises on appeals and re-marks</w:t>
      </w:r>
    </w:p>
    <w:p>
      <w:pPr>
        <w:numPr>
          <w:ilvl w:val="0"/>
          <w:numId w:val="2"/>
        </w:numPr>
        <w:spacing w:before="100" w:beforeAutospacing="1" w:after="100" w:afterAutospacing="1" w:line="240" w:lineRule="auto"/>
        <w:outlineLvl w:val="0"/>
        <w:rPr>
          <w:rFonts w:ascii="Times New Roman" w:eastAsia="Times New Roman" w:hAnsi="Times New Roman" w:cs="Times New Roman"/>
          <w:kern w:val="36"/>
          <w:lang w:eastAsia="en-GB"/>
        </w:rPr>
      </w:pPr>
      <w:proofErr w:type="gramStart"/>
      <w:r>
        <w:rPr>
          <w:rFonts w:ascii="Times New Roman" w:eastAsia="Times New Roman" w:hAnsi="Times New Roman" w:cs="Times New Roman"/>
          <w:kern w:val="36"/>
          <w:lang w:eastAsia="en-GB"/>
        </w:rPr>
        <w:t>the</w:t>
      </w:r>
      <w:proofErr w:type="gramEnd"/>
      <w:r>
        <w:rPr>
          <w:rFonts w:ascii="Times New Roman" w:eastAsia="Times New Roman" w:hAnsi="Times New Roman" w:cs="Times New Roman"/>
          <w:kern w:val="36"/>
          <w:lang w:eastAsia="en-GB"/>
        </w:rPr>
        <w:t xml:space="preserve"> head of centre is responsible for reporting all suspicions or actual incidents of malpractice. Refer to the JCQ document </w:t>
      </w:r>
      <w:proofErr w:type="gramStart"/>
      <w:r>
        <w:rPr>
          <w:rFonts w:ascii="Times New Roman" w:eastAsia="Times New Roman" w:hAnsi="Times New Roman" w:cs="Times New Roman"/>
          <w:i/>
          <w:iCs/>
          <w:kern w:val="36"/>
          <w:lang w:eastAsia="en-GB"/>
        </w:rPr>
        <w:t>Suspected</w:t>
      </w:r>
      <w:proofErr w:type="gramEnd"/>
      <w:r>
        <w:rPr>
          <w:rFonts w:ascii="Times New Roman" w:eastAsia="Times New Roman" w:hAnsi="Times New Roman" w:cs="Times New Roman"/>
          <w:i/>
          <w:iCs/>
          <w:kern w:val="36"/>
          <w:lang w:eastAsia="en-GB"/>
        </w:rPr>
        <w:t xml:space="preserve"> malpractice in examinations and assessments</w:t>
      </w:r>
      <w:r>
        <w:rPr>
          <w:rFonts w:ascii="Times New Roman" w:eastAsia="Times New Roman" w:hAnsi="Times New Roman" w:cs="Times New Roman"/>
          <w:kern w:val="36"/>
          <w:lang w:eastAsia="en-GB"/>
        </w:rPr>
        <w:t>.</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Exams office manager/exams officer</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Manages the administration of public and internal exams and analysis of exam results: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advises the senior leadership team, subject and class tutors and other relevant support staff on annual exam timetables and application procedures as set by the various exam boards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oversees the production and distribution to staff, governors and candidates of an annual calendar for all exams in which candidates will be involved and communicates regularly with staff concerning imminent deadlines and events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ensures that candidates and their parents are informed of and understand those aspects of the exam timetable that will affect them</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consults with teaching staff to ensure that necessary coursework is completed on time and in accordance with JCQ guidelines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provides, confirms and verifies through sampling detailed data on entries, registrations and certification</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receives, checks and stores securely all exam papers and completed scripts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administers access arrangements and makes applications for special consideration using the JCQ </w:t>
      </w:r>
      <w:r>
        <w:rPr>
          <w:rFonts w:ascii="Times New Roman" w:eastAsia="Times New Roman" w:hAnsi="Times New Roman" w:cs="Times New Roman"/>
          <w:i/>
          <w:iCs/>
          <w:kern w:val="36"/>
          <w:lang w:eastAsia="en-GB"/>
        </w:rPr>
        <w:t>Access arrangements and special considerations regulations</w:t>
      </w:r>
      <w:r>
        <w:rPr>
          <w:rFonts w:ascii="Times New Roman" w:eastAsia="Times New Roman" w:hAnsi="Times New Roman" w:cs="Times New Roman"/>
          <w:kern w:val="36"/>
          <w:lang w:eastAsia="en-GB"/>
        </w:rPr>
        <w:t xml:space="preserve"> and </w:t>
      </w:r>
      <w:r>
        <w:rPr>
          <w:rFonts w:ascii="Times New Roman" w:eastAsia="Times New Roman" w:hAnsi="Times New Roman" w:cs="Times New Roman"/>
          <w:i/>
          <w:iCs/>
          <w:kern w:val="36"/>
          <w:lang w:eastAsia="en-GB"/>
        </w:rPr>
        <w:t>Guidance relating to candidates who are eligible for adjustments in examinations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identifies and manages exam timetable clashes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accounts for income and expenditures relating to all exam costs/charges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line manages the senior exams invigilator in organising the recruitment, training and monitoring of a team of exams invigilators responsible for the conduct of exams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prepares and presents reports to the SLT showing results achieved in relation to expected grades and comparable data for previous years, indicating where future procedural improvements might be made</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lastRenderedPageBreak/>
        <w:t>submits candidates’ coursework marks, tracks despatch and stores returned coursework and any other material required by the appropriate awarding bodies correctly and on schedule</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arranges for dissemination of exam results and certificates to candidates and forwards, in consultation with the SLT, any appeals/re-mark requests</w:t>
      </w:r>
    </w:p>
    <w:p>
      <w:pPr>
        <w:numPr>
          <w:ilvl w:val="0"/>
          <w:numId w:val="3"/>
        </w:numPr>
        <w:spacing w:before="100" w:beforeAutospacing="1" w:after="100" w:afterAutospacing="1" w:line="240" w:lineRule="auto"/>
        <w:outlineLvl w:val="0"/>
        <w:rPr>
          <w:rFonts w:ascii="Times New Roman" w:eastAsia="Times New Roman" w:hAnsi="Times New Roman" w:cs="Times New Roman"/>
          <w:kern w:val="36"/>
          <w:lang w:eastAsia="en-GB"/>
        </w:rPr>
      </w:pPr>
      <w:proofErr w:type="gramStart"/>
      <w:r>
        <w:rPr>
          <w:rFonts w:ascii="Times New Roman" w:eastAsia="Times New Roman" w:hAnsi="Times New Roman" w:cs="Times New Roman"/>
          <w:kern w:val="36"/>
          <w:lang w:eastAsia="en-GB"/>
        </w:rPr>
        <w:t>maintains</w:t>
      </w:r>
      <w:proofErr w:type="gramEnd"/>
      <w:r>
        <w:rPr>
          <w:rFonts w:ascii="Times New Roman" w:eastAsia="Times New Roman" w:hAnsi="Times New Roman" w:cs="Times New Roman"/>
          <w:kern w:val="36"/>
          <w:lang w:eastAsia="en-GB"/>
        </w:rPr>
        <w:t xml:space="preserve"> systems and processes to support the timely entry of candidates for their exams.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Deputy head / vice principal</w:t>
      </w:r>
    </w:p>
    <w:p>
      <w:pPr>
        <w:numPr>
          <w:ilvl w:val="0"/>
          <w:numId w:val="4"/>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Organisation of teaching and learning.</w:t>
      </w:r>
    </w:p>
    <w:p>
      <w:pPr>
        <w:numPr>
          <w:ilvl w:val="0"/>
          <w:numId w:val="4"/>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External validation of courses followed at key stage 4 / post-16.</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Heads of department/Programme leaders/LIVs</w:t>
      </w:r>
    </w:p>
    <w:p>
      <w:pPr>
        <w:numPr>
          <w:ilvl w:val="0"/>
          <w:numId w:val="5"/>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Guidance and pastoral oversight of candidates who are unsure about exam entries or amendments to entries.</w:t>
      </w:r>
    </w:p>
    <w:p>
      <w:pPr>
        <w:numPr>
          <w:ilvl w:val="0"/>
          <w:numId w:val="5"/>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Accurate and timely completion of entries and registrations of learners</w:t>
      </w:r>
    </w:p>
    <w:p>
      <w:pPr>
        <w:numPr>
          <w:ilvl w:val="0"/>
          <w:numId w:val="5"/>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Involvement in post-results procedures.</w:t>
      </w:r>
    </w:p>
    <w:p>
      <w:pPr>
        <w:numPr>
          <w:ilvl w:val="0"/>
          <w:numId w:val="5"/>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Accurate completion of coursework mark sheets and declaration sheets.</w:t>
      </w:r>
    </w:p>
    <w:p>
      <w:pPr>
        <w:numPr>
          <w:ilvl w:val="0"/>
          <w:numId w:val="5"/>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Accurate completion of entry and all other mark sheets and adherence to deadlines as set by the exams officer.</w:t>
      </w:r>
    </w:p>
    <w:p>
      <w:pPr>
        <w:numPr>
          <w:ilvl w:val="0"/>
          <w:numId w:val="5"/>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Accurate and timely entry of final unit results which are checked against assessment records prior to issue.</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Head of careers</w:t>
      </w:r>
    </w:p>
    <w:p>
      <w:pPr>
        <w:numPr>
          <w:ilvl w:val="0"/>
          <w:numId w:val="6"/>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Guidance and careers information.</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Teachers</w:t>
      </w:r>
    </w:p>
    <w:p>
      <w:pPr>
        <w:numPr>
          <w:ilvl w:val="0"/>
          <w:numId w:val="7"/>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Notification of access arrangements (as soon as possible after the start of the course).</w:t>
      </w:r>
    </w:p>
    <w:p>
      <w:pPr>
        <w:numPr>
          <w:ilvl w:val="0"/>
          <w:numId w:val="7"/>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Submission of candidate names to heads of department / faculty.</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SENCO</w:t>
      </w:r>
    </w:p>
    <w:p>
      <w:pPr>
        <w:numPr>
          <w:ilvl w:val="0"/>
          <w:numId w:val="8"/>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Administration of access arrangements.</w:t>
      </w:r>
    </w:p>
    <w:p>
      <w:pPr>
        <w:numPr>
          <w:ilvl w:val="0"/>
          <w:numId w:val="8"/>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Identification and testing of candidates’ requirements for access arrangements.</w:t>
      </w:r>
    </w:p>
    <w:p>
      <w:pPr>
        <w:numPr>
          <w:ilvl w:val="0"/>
          <w:numId w:val="8"/>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Provision of additional support — with spelling, reading, mathematics, dyslexia or essential skills, hearing impairment, English for speakers of other languages, IT equipment — to help candidates achieve their course aims.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Lead invigilator/invigilators</w:t>
      </w:r>
    </w:p>
    <w:p>
      <w:pPr>
        <w:numPr>
          <w:ilvl w:val="0"/>
          <w:numId w:val="9"/>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Collection of exam papers and other material from the exams office before the start of the exam.</w:t>
      </w:r>
    </w:p>
    <w:p>
      <w:pPr>
        <w:numPr>
          <w:ilvl w:val="0"/>
          <w:numId w:val="9"/>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Collection of all exam papers in the correct order at the end of the exam and their return to the exams office.</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Candidates/Learners</w:t>
      </w:r>
    </w:p>
    <w:p>
      <w:pPr>
        <w:numPr>
          <w:ilvl w:val="0"/>
          <w:numId w:val="10"/>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Confirmation and signing of entries.</w:t>
      </w:r>
    </w:p>
    <w:p>
      <w:pPr>
        <w:numPr>
          <w:ilvl w:val="0"/>
          <w:numId w:val="10"/>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Understanding coursework regulations and signing a declaration that authenticates the coursework as their own.</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lastRenderedPageBreak/>
        <w:t xml:space="preserve">Administrative staff </w:t>
      </w:r>
    </w:p>
    <w:p>
      <w:pPr>
        <w:numPr>
          <w:ilvl w:val="0"/>
          <w:numId w:val="11"/>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Support for the input of data.</w:t>
      </w:r>
    </w:p>
    <w:p>
      <w:pPr>
        <w:numPr>
          <w:ilvl w:val="0"/>
          <w:numId w:val="11"/>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Posting of exam papers.</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2. The statutory tests and qualifications offered</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statutory tests and qualifications offered at this centre are decided by the head of centre and the heads of department.</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 xml:space="preserve">The statutory tests and qualifications offered are GCSE, A levels, GCE applied, BTEC. </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subjects offered for these qualifications in any academic year may be found in the centre’s published prospectus for that year. If there has been a change of syllabus from the previous year, the exams office must be informed by 10/09/2016.</w:t>
      </w:r>
      <w:r>
        <w:rPr>
          <w:rFonts w:ascii="Times New Roman" w:eastAsia="Times New Roman" w:hAnsi="Times New Roman" w:cs="Times New Roman"/>
          <w:kern w:val="36"/>
          <w:lang w:eastAsia="en-GB"/>
        </w:rPr>
        <w:br/>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At key stage 4</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All candidates will be entitled, and enabled, to achieve an entry for qualifications from an external awarding body.</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At post-16 </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It is expected that AS modules will be completed during year 13.</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3. Exam seasons and timetables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3.1 Exam seasons </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Internal exams are scheduled in December and June.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External exams are scheduled in November, January, March and June.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Internal exams in year 11 and 12 are held under external exam conditions.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 xml:space="preserve">Which exam series are used in the centre is decided by the head of centre and the heads of </w:t>
      </w:r>
      <w:proofErr w:type="gramStart"/>
      <w:r>
        <w:rPr>
          <w:rFonts w:ascii="Times New Roman" w:eastAsia="Times New Roman" w:hAnsi="Times New Roman" w:cs="Times New Roman"/>
          <w:kern w:val="36"/>
          <w:lang w:eastAsia="en-GB"/>
        </w:rPr>
        <w:t>department.</w:t>
      </w:r>
      <w:proofErr w:type="gramEnd"/>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3.2 Timetables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The exams officer will circulate the exam timetables for both external and internal exams once these are confirmed. </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lastRenderedPageBreak/>
        <w:t>4. Learner Entries, Registration, Certification, entry details, late entries and retakes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4.1 Learner Entries &amp; Registration</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Candidates are selected for their exam entries/registrations by the heads of department and the subject teachers.  For BTECs, LIVs have the responsibility for accurate registration of learners before the end of October to ensure the deadline for entries is not missed.  A printout of learners from Sims for each class, for each programme, must be signed by the LIV for the relevant programme area and submitted to the Examinations Officer, who will then carry out the registrations in Edexcel Online.   Once entered, the registration lists are reprinted by the Examinations Officer and returned to the LIVs for re-verification.  </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The same process must be adhered to for accurate registration for external assessment.  LIVs must be aware of the deadlines for registration of examination entries to ensure deadlines are met.  It is also the responsibility of the LIVs to indicate the relevant unit to be examined and when.  These are checked by the Examinations Officer against the original registration lists from October for accuracy.  The Examinations Officer will then make the registrations and record on our internal examinations timetable so that ICT rooms/examination hall </w:t>
      </w:r>
      <w:proofErr w:type="gramStart"/>
      <w:r>
        <w:rPr>
          <w:rFonts w:ascii="Times New Roman" w:eastAsia="Times New Roman" w:hAnsi="Times New Roman" w:cs="Times New Roman"/>
          <w:kern w:val="36"/>
          <w:lang w:eastAsia="en-GB"/>
        </w:rPr>
        <w:t>and  invigilators</w:t>
      </w:r>
      <w:proofErr w:type="gramEnd"/>
      <w:r>
        <w:rPr>
          <w:rFonts w:ascii="Times New Roman" w:eastAsia="Times New Roman" w:hAnsi="Times New Roman" w:cs="Times New Roman"/>
          <w:kern w:val="36"/>
          <w:lang w:eastAsia="en-GB"/>
        </w:rPr>
        <w:t xml:space="preserve"> can be booked in advance.</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4.2 Certification</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At the appropriate time of year, the LIVs enter the results for each learner for each unit, for each programme and this process is sampled by the Examinations Officer to ensure accuracy of entry. When the certificates are issued by Pearson the Examinations Officer takes responsibility for checking the grades against the entries again to ensure accurate certification of each award.</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A candidate or parent/carer can request a subject entry, change of level or withdrawal.</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centre does accept entries from external candidates.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4.3 Late entries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Entry deadlines are circulated to heads of department via noticeboard.</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Late entries are authorised by heads of department and exams officer.</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4.4 Retakes for BTECs.</w:t>
      </w:r>
      <w:r>
        <w:rPr>
          <w:rFonts w:ascii="Times New Roman" w:eastAsia="Times New Roman" w:hAnsi="Times New Roman" w:cs="Times New Roman"/>
          <w:kern w:val="36"/>
          <w:lang w:eastAsia="en-GB"/>
        </w:rPr>
        <w:br/>
        <w:t>Retake decisions will be made in consultation with the candidates, subject teachers, exams officer, head of centre and the heads of department.</w:t>
      </w:r>
    </w:p>
    <w:p>
      <w:pPr>
        <w:spacing w:before="100" w:beforeAutospacing="1" w:after="100" w:afterAutospacing="1" w:line="240" w:lineRule="auto"/>
        <w:outlineLvl w:val="0"/>
        <w:rPr>
          <w:rFonts w:ascii="Times New Roman" w:eastAsia="Times New Roman" w:hAnsi="Times New Roman" w:cs="Times New Roman"/>
          <w:kern w:val="36"/>
          <w:lang w:eastAsia="en-GB"/>
        </w:rPr>
      </w:pPr>
      <w:proofErr w:type="gramStart"/>
      <w:r>
        <w:rPr>
          <w:rFonts w:ascii="Times New Roman" w:eastAsia="Times New Roman" w:hAnsi="Times New Roman" w:cs="Times New Roman"/>
          <w:b/>
          <w:kern w:val="36"/>
          <w:lang w:eastAsia="en-GB"/>
        </w:rPr>
        <w:t>N.B.</w:t>
      </w:r>
      <w:proofErr w:type="gramEnd"/>
      <w:r>
        <w:rPr>
          <w:rFonts w:ascii="Times New Roman" w:eastAsia="Times New Roman" w:hAnsi="Times New Roman" w:cs="Times New Roman"/>
          <w:b/>
          <w:kern w:val="36"/>
          <w:lang w:eastAsia="en-GB"/>
        </w:rPr>
        <w:t xml:space="preserve">  For retakes in BTEC qualifications – see Assessment Policy for guidance.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(See also section 5: Exam fees)</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5. Exam fees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GCSE initial registration and entry exam fees are paid by the centre.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AS initial registration and entry exam fees are paid by the centre.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lastRenderedPageBreak/>
        <w:t>A2 initial registration and entry exam fees are paid by the centre.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Late entry or amendment fees are paid by the centre.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Candidates or departments will not be charged for changes of tier, withdrawals made by the proper procedures or alterations arising from administrative processes, provided these are made within the time allowed by the awarding bodies.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Reimbursement will not be sought from candidates who fail to sit an exam or meet the necessary coursework requirements.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This fees reimbursement policy will be communicated in writing to candidates and parents/carers at the start of GCSE and post-16 courses.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Candidates must pay the fee for an enquiry about a result, should the centre not uphold the enquiry and the candidate insist on pursuing the enquiry.</w:t>
      </w:r>
      <w:r>
        <w:rPr>
          <w:rFonts w:ascii="Times New Roman" w:eastAsia="Times New Roman" w:hAnsi="Times New Roman" w:cs="Times New Roman"/>
          <w:kern w:val="36"/>
          <w:lang w:eastAsia="en-GB"/>
        </w:rPr>
        <w:br/>
        <w:t>(See also section 11.2: Enquiries about results [EARs])</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6. The Disability Discrimination Act (DDA), special needs and access arrangements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6.1 DDA</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The Disability Discrimination Act 2005 extends the application of the DDA to general qualifications. All exam centre staff must ensure that the access arrangements and special consideration regulations and guidance are consistent with the law. </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6.2 Special needs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 candidate’s special needs requirements are determined by the SENCO and the doctor.</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SENCO will inform subject teachers of candidates with special educational needs who are embarking on a course leading to an exam, and the date of that exam. The SENCO can then inform individual staff of any special arrangements that individual candidates may be granted during the course and in the exam.</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6.3 Access arrangements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Making special arrangements for candidates to take exams is the responsibility of the exams officer.</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Submitting completed access arrangement applications to the awarding bodies is the responsibility of the exams officer.</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Rooming for access arrangement candidates will be arranged by the SENCO with the exams officer.</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Invigilation and support for access arrangement candidates will be organised by the SENCO with the exams officer.</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lastRenderedPageBreak/>
        <w:t>7. Estimated grades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Estimated grades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heads of department will submit estimated grades to the exams officer when requested by the exams officer.</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8. Managing invigilators and exam days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8.1 Managing invigilators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External invigilators will be used for exam supervision.</w:t>
      </w:r>
      <w:r>
        <w:rPr>
          <w:rFonts w:ascii="Times New Roman" w:eastAsia="Times New Roman" w:hAnsi="Times New Roman" w:cs="Times New Roman"/>
          <w:kern w:val="36"/>
          <w:lang w:eastAsia="en-GB"/>
        </w:rPr>
        <w:br/>
        <w:t>They will be used for external exams.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recruitment of invigilators is the responsibility of the exams office.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Securing the necessary Criminal Records Bureau (CRB) clearance for new invigilators is the responsibility of the centre administration.</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CRB fees for securing such clearance are paid by the centre.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Invigilators are timetabled and briefed by the exams office.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Invigilators’ rates of pay are set by the centre administration.</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8.2 Exam days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exams officer will book all exam rooms after liaison with other users and make the question papers, other exam stationery and materials available for the invigilator.</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Site management is responsible for setting up the allocated rooms.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lead invigilator will start all exams in accordance with JCQ guidelines.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Subject staff may be present at the start of the exam to assist with identification of candidates but must not advise on which questions are to be attempted.</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In practical exams subject teachers may be on hand in case of any technical difficulties.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Exam papers must not be read by subject teachers or removed from the exam room before the end of a session. Papers will be distributed to heads of department/faculty at the end of the exam session.</w:t>
      </w: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9. Candidates, clash candidates and special consideration</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9.1 Candidates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centre’s published rules on acceptable dress, behaviour and candidates’ use of mobile phones and all electronic devices apply at all times.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Candidates’ personal belongings remain their own responsibility and the centre accepts no liability for their loss or damage.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lastRenderedPageBreak/>
        <w:br/>
        <w:t>Disruptive candidates are dealt with in accordance with JCQ guidelines.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Candidates may leave the exam room for a genuine purpose requiring an immediate return to the exam room, in which case a member of staff must accompany them.</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exams officer will attempt to contact any candidate who is not present at the start of an exam and deal with them in accordance with JCQ guidelines.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9.2 Clash candidates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exams officer will be responsible as necessary for identifying escorts, identifying a secure venue and arranging overnight stays.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9.3 Special consideration</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Should a candidate be too ill to sit an exam, suffer bereavement or other trauma or be taken ill during the exam itself, it is the candidate’s responsibility to alert the centre, or the exam invigilator, to that effect.</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Any special consideration claim must be supported by appropriate evidence within five days of the exam, for example a letter from the candidate’s doctor.</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exams officer will then forward a completed special consideration form to the relevant awarding body within seven days of the exam.</w:t>
      </w: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10. Coursework and appeals against internal assessments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10.1 Coursework</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Candidates who have to prepare portfolios should do so by the end of the course or centre-defined date.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Heads of department will ensure all coursework is ready for despatch at the correct time and the exams officer will keep a record of what has been sent when and to whom.</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Marks for all internally assessed work are provided to the exams office by the heads of department.</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10.2 Appeals against internal assessments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centre is obliged to publish a separate procedure on this subject, which is available from the exams office.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main points are:</w:t>
      </w:r>
    </w:p>
    <w:p>
      <w:pPr>
        <w:numPr>
          <w:ilvl w:val="0"/>
          <w:numId w:val="12"/>
        </w:numPr>
        <w:spacing w:before="100" w:beforeAutospacing="1" w:after="100" w:afterAutospacing="1" w:line="240" w:lineRule="auto"/>
        <w:outlineLvl w:val="0"/>
        <w:rPr>
          <w:rFonts w:ascii="Times New Roman" w:eastAsia="Times New Roman" w:hAnsi="Times New Roman" w:cs="Times New Roman"/>
          <w:kern w:val="36"/>
          <w:lang w:eastAsia="en-GB"/>
        </w:rPr>
      </w:pPr>
      <w:proofErr w:type="gramStart"/>
      <w:r>
        <w:rPr>
          <w:rFonts w:ascii="Times New Roman" w:eastAsia="Times New Roman" w:hAnsi="Times New Roman" w:cs="Times New Roman"/>
          <w:kern w:val="36"/>
          <w:lang w:eastAsia="en-GB"/>
        </w:rPr>
        <w:t>appeals</w:t>
      </w:r>
      <w:proofErr w:type="gramEnd"/>
      <w:r>
        <w:rPr>
          <w:rFonts w:ascii="Times New Roman" w:eastAsia="Times New Roman" w:hAnsi="Times New Roman" w:cs="Times New Roman"/>
          <w:kern w:val="36"/>
          <w:lang w:eastAsia="en-GB"/>
        </w:rPr>
        <w:t xml:space="preserve"> will only be entertained if they apply to the process leading to an assessment. There is no appeal against the mark or grade awarded</w:t>
      </w:r>
    </w:p>
    <w:p>
      <w:pPr>
        <w:numPr>
          <w:ilvl w:val="0"/>
          <w:numId w:val="12"/>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candidates may appeal if they feel their coursework has been assessed unfairly, inconsistently or not in accordance with the specification for the qualification</w:t>
      </w:r>
    </w:p>
    <w:p>
      <w:pPr>
        <w:numPr>
          <w:ilvl w:val="0"/>
          <w:numId w:val="12"/>
        </w:num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appeals should be made in writing by 30 June to the head of centre (or other nominee) who will decide whether the process used conformed to the necessary requirements</w:t>
      </w:r>
    </w:p>
    <w:p>
      <w:pPr>
        <w:numPr>
          <w:ilvl w:val="0"/>
          <w:numId w:val="12"/>
        </w:numPr>
        <w:spacing w:before="100" w:beforeAutospacing="1" w:after="100" w:afterAutospacing="1" w:line="240" w:lineRule="auto"/>
        <w:outlineLvl w:val="0"/>
        <w:rPr>
          <w:rFonts w:ascii="Times New Roman" w:eastAsia="Times New Roman" w:hAnsi="Times New Roman" w:cs="Times New Roman"/>
          <w:kern w:val="36"/>
          <w:lang w:eastAsia="en-GB"/>
        </w:rPr>
      </w:pPr>
      <w:proofErr w:type="gramStart"/>
      <w:r>
        <w:rPr>
          <w:rFonts w:ascii="Times New Roman" w:eastAsia="Times New Roman" w:hAnsi="Times New Roman" w:cs="Times New Roman"/>
          <w:kern w:val="36"/>
          <w:lang w:eastAsia="en-GB"/>
        </w:rPr>
        <w:t>the</w:t>
      </w:r>
      <w:proofErr w:type="gramEnd"/>
      <w:r>
        <w:rPr>
          <w:rFonts w:ascii="Times New Roman" w:eastAsia="Times New Roman" w:hAnsi="Times New Roman" w:cs="Times New Roman"/>
          <w:kern w:val="36"/>
          <w:lang w:eastAsia="en-GB"/>
        </w:rPr>
        <w:t xml:space="preserve"> head of centre’s findings will be notified in writing, copied to the exams officer and recorded for awarding body inspection.</w:t>
      </w: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lastRenderedPageBreak/>
        <w:t>11. Results, enquiries about results (EARs) and access to scripts (ATS)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11.1 Results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Candidates will receive individual results slips on results days in person at the centre / by post to their home addresses (candidates to provide sae).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Arrangements for the school to be open on results days are made by the head of centre.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provision of staff on results days is the responsibility of the head of centre.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centre aggregates at the end of year 14 for AS grades, not at the end of year 13</w:t>
      </w:r>
      <w:bookmarkStart w:id="0" w:name="_GoBack"/>
      <w:bookmarkEnd w:id="0"/>
      <w:r>
        <w:rPr>
          <w:rFonts w:ascii="Times New Roman" w:eastAsia="Times New Roman" w:hAnsi="Times New Roman" w:cs="Times New Roman"/>
          <w:kern w:val="36"/>
          <w:lang w:eastAsia="en-GB"/>
        </w:rPr>
        <w:t>.</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11.2 EARs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EARs may be requested by centre staff or candidates if there are reasonable grounds for believing there has been an error in marking.</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When the centre does not uphold an EAR, a candidate may apply to have an enquiry carried out. If a candidate requires this against the advice of subject staff, they will be charged.</w:t>
      </w:r>
      <w:r>
        <w:rPr>
          <w:rFonts w:ascii="Times New Roman" w:eastAsia="Times New Roman" w:hAnsi="Times New Roman" w:cs="Times New Roman"/>
          <w:kern w:val="36"/>
          <w:lang w:eastAsia="en-GB"/>
        </w:rPr>
        <w:br/>
        <w:t>(See section 5: Exam fees)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11.3 ATS</w:t>
      </w:r>
    </w:p>
    <w:p>
      <w:pPr>
        <w:spacing w:before="100" w:beforeAutospacing="1" w:after="100" w:afterAutospacing="1"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After the release of results, candidates may ask subject staff to request the return of papers within three days’ scrutiny of the results.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If a result is queried, the exams officer, teaching staff and head of centre will investigate the feasibility of asking for a re-mark at the centre’s expense.</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Centre staff may also request scripts for investigation or for teaching purposes. For the latter, the consent of candidates must be obtained.</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GCSE re-marks cannot be applied for once a script has been returned.</w:t>
      </w:r>
    </w:p>
    <w:p>
      <w:pPr>
        <w:spacing w:after="0" w:line="240" w:lineRule="auto"/>
        <w:rPr>
          <w:rFonts w:ascii="Times New Roman" w:eastAsia="Times New Roman" w:hAnsi="Times New Roman" w:cs="Times New Roman"/>
          <w:sz w:val="24"/>
          <w:szCs w:val="24"/>
          <w:lang w:eastAsia="en-GB"/>
        </w:rPr>
      </w:pP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12. Certificates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Certificates are presented in person.</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Certificates may be collected on behalf of a candidate by a third party, provided they have been authorised to do so.</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Certificates are not withheld from candidates who owe fees.</w:t>
      </w:r>
      <w:r>
        <w:rPr>
          <w:rFonts w:ascii="Times New Roman" w:eastAsia="Times New Roman" w:hAnsi="Times New Roman" w:cs="Times New Roman"/>
          <w:kern w:val="36"/>
          <w:lang w:eastAsia="en-GB"/>
        </w:rPr>
        <w:br/>
      </w:r>
      <w:r>
        <w:rPr>
          <w:rFonts w:ascii="Times New Roman" w:eastAsia="Times New Roman" w:hAnsi="Times New Roman" w:cs="Times New Roman"/>
          <w:kern w:val="36"/>
          <w:lang w:eastAsia="en-GB"/>
        </w:rPr>
        <w:br/>
        <w:t>The centre retains certificates for five years.</w:t>
      </w:r>
    </w:p>
    <w:p>
      <w:pPr>
        <w:keepNext/>
        <w:shd w:val="clear" w:color="auto" w:fill="CAD8ED"/>
        <w:spacing w:before="100" w:beforeAutospacing="1" w:after="100" w:afterAutospacing="1" w:line="240" w:lineRule="auto"/>
        <w:outlineLvl w:val="2"/>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13. Withdrawal from qualifications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Pupils who initially enrolled for BTEC or CACHE courses but who have now officially left the school and who have been withdrawn from SIMS must also be withdrawn from the relevant qualifications using the online process for the respective awarding bodies.</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lastRenderedPageBreak/>
        <w:t xml:space="preserve">This is to ensure the awarding bodies are not left with lists of learners on the </w:t>
      </w:r>
      <w:proofErr w:type="gramStart"/>
      <w:r>
        <w:rPr>
          <w:rFonts w:ascii="Times New Roman" w:eastAsia="Times New Roman" w:hAnsi="Times New Roman" w:cs="Times New Roman"/>
          <w:kern w:val="36"/>
          <w:lang w:eastAsia="en-GB"/>
        </w:rPr>
        <w:t>system who are</w:t>
      </w:r>
      <w:proofErr w:type="gramEnd"/>
      <w:r>
        <w:rPr>
          <w:rFonts w:ascii="Times New Roman" w:eastAsia="Times New Roman" w:hAnsi="Times New Roman" w:cs="Times New Roman"/>
          <w:kern w:val="36"/>
          <w:lang w:eastAsia="en-GB"/>
        </w:rPr>
        <w:t xml:space="preserve"> no longer studying any qualifications at the centre.  </w:t>
      </w:r>
    </w:p>
    <w:p>
      <w:pPr>
        <w:spacing w:before="100" w:beforeAutospacing="1" w:after="240" w:line="240" w:lineRule="auto"/>
        <w:outlineLvl w:val="0"/>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It is recognised that the school has a robust mechanism for withdrawing pupils on SIMS, but this must be replicated to keep the awarding bodies fully informed also.</w:t>
      </w:r>
    </w:p>
    <w:p>
      <w:pPr>
        <w:spacing w:before="100" w:beforeAutospacing="1" w:after="240" w:line="240" w:lineRule="auto"/>
        <w:outlineLvl w:val="0"/>
        <w:rPr>
          <w:rFonts w:ascii="Times New Roman" w:eastAsia="Times New Roman" w:hAnsi="Times New Roman" w:cs="Times New Roman"/>
          <w:b/>
          <w:kern w:val="36"/>
          <w:lang w:eastAsia="en-GB"/>
        </w:rPr>
      </w:pPr>
      <w:r>
        <w:rPr>
          <w:rFonts w:ascii="Times New Roman" w:eastAsia="Times New Roman" w:hAnsi="Times New Roman" w:cs="Times New Roman"/>
          <w:b/>
          <w:kern w:val="36"/>
          <w:lang w:eastAsia="en-GB"/>
        </w:rPr>
        <w:t>N.B For all qualifications, The Head of centre in consultation with SLT, the Examinations Officer, Staff, parents and external agencies will ultimately make the decision to exclude due to ineligibility.  External agencies may include EWS, Ed Psych, Social Services and Health.</w:t>
      </w:r>
    </w:p>
    <w:p>
      <w:pPr>
        <w:spacing w:before="100" w:beforeAutospacing="1" w:after="240" w:line="240" w:lineRule="auto"/>
        <w:outlineLvl w:val="0"/>
        <w:rPr>
          <w:rFonts w:ascii="Times New Roman" w:eastAsia="Times New Roman" w:hAnsi="Times New Roman" w:cs="Times New Roman"/>
          <w:b/>
          <w:kern w:val="36"/>
          <w:lang w:eastAsia="en-GB"/>
        </w:rPr>
      </w:pPr>
    </w:p>
    <w:tbl>
      <w:tblPr>
        <w:tblW w:w="5000" w:type="pct"/>
        <w:tblCellSpacing w:w="0" w:type="dxa"/>
        <w:tblCellMar>
          <w:left w:w="0" w:type="dxa"/>
          <w:right w:w="0" w:type="dxa"/>
        </w:tblCellMar>
        <w:tblLook w:val="04A0" w:firstRow="1" w:lastRow="0" w:firstColumn="1" w:lastColumn="0" w:noHBand="0" w:noVBand="1"/>
      </w:tblPr>
      <w:tblGrid>
        <w:gridCol w:w="4061"/>
        <w:gridCol w:w="903"/>
        <w:gridCol w:w="4062"/>
      </w:tblGrid>
      <w:tr>
        <w:trPr>
          <w:tblCellSpacing w:w="0" w:type="dxa"/>
        </w:trPr>
        <w:tc>
          <w:tcPr>
            <w:tcW w:w="2250" w:type="pct"/>
            <w:tcBorders>
              <w:top w:val="dotted" w:sz="6" w:space="0" w:color="999999"/>
              <w:left w:val="nil"/>
              <w:bottom w:val="nil"/>
              <w:right w:val="nil"/>
            </w:tcBorders>
            <w:vAlign w:val="center"/>
            <w:hideMark/>
          </w:tcPr>
          <w:p>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Head of centre</w:t>
            </w:r>
          </w:p>
        </w:tc>
        <w:tc>
          <w:tcPr>
            <w:tcW w:w="500" w:type="pct"/>
            <w:vAlign w:val="center"/>
            <w:hideMark/>
          </w:tcPr>
          <w:p>
            <w:pPr>
              <w:spacing w:after="0" w:line="240" w:lineRule="auto"/>
              <w:rPr>
                <w:rFonts w:ascii="Times New Roman" w:eastAsia="Times New Roman" w:hAnsi="Times New Roman" w:cs="Times New Roman"/>
                <w:sz w:val="24"/>
                <w:szCs w:val="24"/>
                <w:lang w:eastAsia="en-GB"/>
              </w:rPr>
            </w:pPr>
          </w:p>
        </w:tc>
        <w:tc>
          <w:tcPr>
            <w:tcW w:w="2250" w:type="pct"/>
            <w:tcBorders>
              <w:top w:val="dotted" w:sz="6" w:space="0" w:color="999999"/>
              <w:left w:val="nil"/>
              <w:bottom w:val="nil"/>
              <w:right w:val="nil"/>
            </w:tcBorders>
            <w:vAlign w:val="center"/>
            <w:hideMark/>
          </w:tcPr>
          <w:p>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Exams officer</w:t>
            </w: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0C2"/>
    <w:multiLevelType w:val="multilevel"/>
    <w:tmpl w:val="0AAA9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0A5C75"/>
    <w:multiLevelType w:val="multilevel"/>
    <w:tmpl w:val="5DE0F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775CBC"/>
    <w:multiLevelType w:val="multilevel"/>
    <w:tmpl w:val="D326C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08629C"/>
    <w:multiLevelType w:val="multilevel"/>
    <w:tmpl w:val="6EA08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3F408C"/>
    <w:multiLevelType w:val="multilevel"/>
    <w:tmpl w:val="D7B85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304037"/>
    <w:multiLevelType w:val="multilevel"/>
    <w:tmpl w:val="60925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F36371"/>
    <w:multiLevelType w:val="multilevel"/>
    <w:tmpl w:val="B254F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570780"/>
    <w:multiLevelType w:val="multilevel"/>
    <w:tmpl w:val="CF768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E0639F"/>
    <w:multiLevelType w:val="multilevel"/>
    <w:tmpl w:val="21E6C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25447D"/>
    <w:multiLevelType w:val="multilevel"/>
    <w:tmpl w:val="85AEE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B71135"/>
    <w:multiLevelType w:val="multilevel"/>
    <w:tmpl w:val="843C5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F2179E8"/>
    <w:multiLevelType w:val="multilevel"/>
    <w:tmpl w:val="11F67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80032">
      <w:bodyDiv w:val="1"/>
      <w:marLeft w:val="0"/>
      <w:marRight w:val="0"/>
      <w:marTop w:val="0"/>
      <w:marBottom w:val="0"/>
      <w:divBdr>
        <w:top w:val="none" w:sz="0" w:space="0" w:color="auto"/>
        <w:left w:val="none" w:sz="0" w:space="0" w:color="auto"/>
        <w:bottom w:val="none" w:sz="0" w:space="0" w:color="auto"/>
        <w:right w:val="none" w:sz="0" w:space="0" w:color="auto"/>
      </w:divBdr>
      <w:divsChild>
        <w:div w:id="751050799">
          <w:marLeft w:val="0"/>
          <w:marRight w:val="0"/>
          <w:marTop w:val="0"/>
          <w:marBottom w:val="0"/>
          <w:divBdr>
            <w:top w:val="none" w:sz="0" w:space="0" w:color="auto"/>
            <w:left w:val="none" w:sz="0" w:space="0" w:color="auto"/>
            <w:bottom w:val="none" w:sz="0" w:space="0" w:color="auto"/>
            <w:right w:val="none" w:sz="0" w:space="0" w:color="auto"/>
          </w:divBdr>
        </w:div>
        <w:div w:id="1992901449">
          <w:marLeft w:val="0"/>
          <w:marRight w:val="0"/>
          <w:marTop w:val="0"/>
          <w:marBottom w:val="0"/>
          <w:divBdr>
            <w:top w:val="none" w:sz="0" w:space="0" w:color="auto"/>
            <w:left w:val="none" w:sz="0" w:space="0" w:color="auto"/>
            <w:bottom w:val="none" w:sz="0" w:space="0" w:color="auto"/>
            <w:right w:val="none" w:sz="0" w:space="0" w:color="auto"/>
          </w:divBdr>
        </w:div>
        <w:div w:id="1395618624">
          <w:marLeft w:val="0"/>
          <w:marRight w:val="0"/>
          <w:marTop w:val="0"/>
          <w:marBottom w:val="0"/>
          <w:divBdr>
            <w:top w:val="none" w:sz="0" w:space="0" w:color="auto"/>
            <w:left w:val="none" w:sz="0" w:space="0" w:color="auto"/>
            <w:bottom w:val="none" w:sz="0" w:space="0" w:color="auto"/>
            <w:right w:val="none" w:sz="0" w:space="0" w:color="auto"/>
          </w:divBdr>
        </w:div>
        <w:div w:id="2094936874">
          <w:marLeft w:val="0"/>
          <w:marRight w:val="0"/>
          <w:marTop w:val="0"/>
          <w:marBottom w:val="0"/>
          <w:divBdr>
            <w:top w:val="none" w:sz="0" w:space="0" w:color="auto"/>
            <w:left w:val="none" w:sz="0" w:space="0" w:color="auto"/>
            <w:bottom w:val="none" w:sz="0" w:space="0" w:color="auto"/>
            <w:right w:val="none" w:sz="0" w:space="0" w:color="auto"/>
          </w:divBdr>
        </w:div>
        <w:div w:id="1714234563">
          <w:marLeft w:val="0"/>
          <w:marRight w:val="0"/>
          <w:marTop w:val="0"/>
          <w:marBottom w:val="0"/>
          <w:divBdr>
            <w:top w:val="none" w:sz="0" w:space="0" w:color="auto"/>
            <w:left w:val="none" w:sz="0" w:space="0" w:color="auto"/>
            <w:bottom w:val="none" w:sz="0" w:space="0" w:color="auto"/>
            <w:right w:val="none" w:sz="0" w:space="0" w:color="auto"/>
          </w:divBdr>
        </w:div>
        <w:div w:id="1594628457">
          <w:marLeft w:val="0"/>
          <w:marRight w:val="0"/>
          <w:marTop w:val="0"/>
          <w:marBottom w:val="0"/>
          <w:divBdr>
            <w:top w:val="none" w:sz="0" w:space="0" w:color="auto"/>
            <w:left w:val="none" w:sz="0" w:space="0" w:color="auto"/>
            <w:bottom w:val="none" w:sz="0" w:space="0" w:color="auto"/>
            <w:right w:val="none" w:sz="0" w:space="0" w:color="auto"/>
          </w:divBdr>
        </w:div>
        <w:div w:id="1912739545">
          <w:marLeft w:val="0"/>
          <w:marRight w:val="0"/>
          <w:marTop w:val="0"/>
          <w:marBottom w:val="0"/>
          <w:divBdr>
            <w:top w:val="none" w:sz="0" w:space="0" w:color="auto"/>
            <w:left w:val="none" w:sz="0" w:space="0" w:color="auto"/>
            <w:bottom w:val="none" w:sz="0" w:space="0" w:color="auto"/>
            <w:right w:val="none" w:sz="0" w:space="0" w:color="auto"/>
          </w:divBdr>
        </w:div>
        <w:div w:id="484785652">
          <w:marLeft w:val="0"/>
          <w:marRight w:val="0"/>
          <w:marTop w:val="0"/>
          <w:marBottom w:val="0"/>
          <w:divBdr>
            <w:top w:val="none" w:sz="0" w:space="0" w:color="auto"/>
            <w:left w:val="none" w:sz="0" w:space="0" w:color="auto"/>
            <w:bottom w:val="none" w:sz="0" w:space="0" w:color="auto"/>
            <w:right w:val="none" w:sz="0" w:space="0" w:color="auto"/>
          </w:divBdr>
        </w:div>
        <w:div w:id="1480726126">
          <w:marLeft w:val="0"/>
          <w:marRight w:val="0"/>
          <w:marTop w:val="0"/>
          <w:marBottom w:val="0"/>
          <w:divBdr>
            <w:top w:val="none" w:sz="0" w:space="0" w:color="auto"/>
            <w:left w:val="none" w:sz="0" w:space="0" w:color="auto"/>
            <w:bottom w:val="none" w:sz="0" w:space="0" w:color="auto"/>
            <w:right w:val="none" w:sz="0" w:space="0" w:color="auto"/>
          </w:divBdr>
        </w:div>
        <w:div w:id="105588688">
          <w:marLeft w:val="0"/>
          <w:marRight w:val="0"/>
          <w:marTop w:val="0"/>
          <w:marBottom w:val="0"/>
          <w:divBdr>
            <w:top w:val="none" w:sz="0" w:space="0" w:color="auto"/>
            <w:left w:val="none" w:sz="0" w:space="0" w:color="auto"/>
            <w:bottom w:val="none" w:sz="0" w:space="0" w:color="auto"/>
            <w:right w:val="none" w:sz="0" w:space="0" w:color="auto"/>
          </w:divBdr>
        </w:div>
        <w:div w:id="1586037784">
          <w:marLeft w:val="0"/>
          <w:marRight w:val="0"/>
          <w:marTop w:val="0"/>
          <w:marBottom w:val="0"/>
          <w:divBdr>
            <w:top w:val="none" w:sz="0" w:space="0" w:color="auto"/>
            <w:left w:val="none" w:sz="0" w:space="0" w:color="auto"/>
            <w:bottom w:val="none" w:sz="0" w:space="0" w:color="auto"/>
            <w:right w:val="none" w:sz="0" w:space="0" w:color="auto"/>
          </w:divBdr>
        </w:div>
        <w:div w:id="56846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46763E4D</Template>
  <TotalTime>135</TotalTime>
  <Pages>10</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WALSH</dc:creator>
  <cp:lastModifiedBy>A WALSH</cp:lastModifiedBy>
  <cp:revision>11</cp:revision>
  <cp:lastPrinted>2017-03-08T10:58:00Z</cp:lastPrinted>
  <dcterms:created xsi:type="dcterms:W3CDTF">2015-04-01T13:09:00Z</dcterms:created>
  <dcterms:modified xsi:type="dcterms:W3CDTF">2017-03-14T08:16:00Z</dcterms:modified>
</cp:coreProperties>
</file>